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8CB782E" w:rsidR="00E90E49" w:rsidRPr="00CE0424" w:rsidRDefault="00E90E49" w:rsidP="00E35559">
      <w:pPr>
        <w:pStyle w:val="3GPPHeader"/>
        <w:spacing w:after="60"/>
        <w:rPr>
          <w:sz w:val="32"/>
          <w:szCs w:val="32"/>
          <w:highlight w:val="yellow"/>
        </w:rPr>
      </w:pPr>
      <w:r w:rsidRPr="00CE0424">
        <w:t>3GPP TSG-RAN WG</w:t>
      </w:r>
      <w:r w:rsidR="009B6905">
        <w:t>4</w:t>
      </w:r>
      <w:r w:rsidRPr="00CE0424">
        <w:t xml:space="preserve"> </w:t>
      </w:r>
      <w:r w:rsidR="008F1C4E">
        <w:t xml:space="preserve">Meeting </w:t>
      </w:r>
      <w:r w:rsidRPr="00CE0424">
        <w:t>#</w:t>
      </w:r>
      <w:r w:rsidR="00110EFE">
        <w:t>107</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754198">
        <w:rPr>
          <w:sz w:val="32"/>
          <w:szCs w:val="32"/>
        </w:rPr>
        <w:t>08521</w:t>
      </w:r>
    </w:p>
    <w:p w14:paraId="0CE7B7E6" w14:textId="035D25A5" w:rsidR="00E90E49" w:rsidRPr="00CE0424" w:rsidRDefault="00110EFE" w:rsidP="00311702">
      <w:pPr>
        <w:pStyle w:val="3GPPHeader"/>
      </w:pPr>
      <w:r w:rsidRPr="002471FE">
        <w:t>Seoul</w:t>
      </w:r>
      <w:r w:rsidR="0027144F" w:rsidRPr="002471FE">
        <w:t xml:space="preserve">, </w:t>
      </w:r>
      <w:r w:rsidRPr="002471FE">
        <w:t>Korea</w:t>
      </w:r>
      <w:r w:rsidR="0027144F" w:rsidRPr="002471FE">
        <w:t xml:space="preserve">, </w:t>
      </w:r>
      <w:r w:rsidR="002471FE" w:rsidRPr="002471FE">
        <w:t>May</w:t>
      </w:r>
      <w:r w:rsidR="0027144F" w:rsidRPr="002471FE">
        <w:t xml:space="preserve"> </w:t>
      </w:r>
      <w:r w:rsidR="002471FE" w:rsidRPr="002471FE">
        <w:t>22nd</w:t>
      </w:r>
      <w:r w:rsidR="001D53E7" w:rsidRPr="002471FE">
        <w:t xml:space="preserve"> – </w:t>
      </w:r>
      <w:r w:rsidR="002471FE" w:rsidRPr="002471FE">
        <w:t>26</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437BF46D" w:rsidR="00E90E49" w:rsidRPr="009B6905" w:rsidRDefault="00E90E49" w:rsidP="00311702">
      <w:pPr>
        <w:pStyle w:val="3GPPHeader"/>
        <w:rPr>
          <w:sz w:val="22"/>
        </w:rPr>
      </w:pPr>
      <w:r w:rsidRPr="009B6905">
        <w:rPr>
          <w:sz w:val="22"/>
        </w:rPr>
        <w:t>Agenda Item:</w:t>
      </w:r>
      <w:r w:rsidRPr="009B6905">
        <w:rPr>
          <w:sz w:val="22"/>
        </w:rPr>
        <w:tab/>
      </w:r>
      <w:r w:rsidR="009B72A7" w:rsidRPr="009B6905">
        <w:rPr>
          <w:sz w:val="22"/>
        </w:rPr>
        <w:t>8.29.2.2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3F42A22" w:rsidR="00E90E49" w:rsidRPr="00CE0424" w:rsidRDefault="003D3C45" w:rsidP="00311702">
      <w:pPr>
        <w:pStyle w:val="3GPPHeader"/>
        <w:rPr>
          <w:sz w:val="22"/>
        </w:rPr>
      </w:pPr>
      <w:r>
        <w:rPr>
          <w:sz w:val="22"/>
        </w:rPr>
        <w:t>Title:</w:t>
      </w:r>
      <w:r w:rsidR="00E90E49" w:rsidRPr="00CE0424">
        <w:rPr>
          <w:sz w:val="22"/>
        </w:rPr>
        <w:tab/>
      </w:r>
      <w:r w:rsidR="00754198" w:rsidRPr="00754198">
        <w:rPr>
          <w:sz w:val="22"/>
        </w:rPr>
        <w:t>NCR-MT remaining RF requirements</w:t>
      </w:r>
    </w:p>
    <w:p w14:paraId="025260C1" w14:textId="3376F09A" w:rsidR="00E90E49" w:rsidRPr="00CE0424" w:rsidRDefault="00E90E49" w:rsidP="00D546FF">
      <w:pPr>
        <w:pStyle w:val="3GPPHeader"/>
        <w:rPr>
          <w:sz w:val="22"/>
        </w:rPr>
      </w:pPr>
      <w:r w:rsidRPr="00CE0424">
        <w:rPr>
          <w:sz w:val="22"/>
        </w:rPr>
        <w:t>Document for:</w:t>
      </w:r>
      <w:r w:rsidRPr="00CE0424">
        <w:rPr>
          <w:sz w:val="22"/>
        </w:rPr>
        <w:tab/>
      </w:r>
      <w:r w:rsidR="0075419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023BE19" w:rsidR="00477768" w:rsidRPr="00CE0424" w:rsidRDefault="0037462B" w:rsidP="00CE0424">
      <w:pPr>
        <w:pStyle w:val="BodyText"/>
      </w:pPr>
      <w:r>
        <w:t xml:space="preserve">During RAN4#106bis, </w:t>
      </w:r>
      <w:r w:rsidR="008261CE">
        <w:t>most</w:t>
      </w:r>
      <w:r>
        <w:t xml:space="preserve"> open issues for NCR-</w:t>
      </w:r>
      <w:r w:rsidR="008261CE">
        <w:t>MT</w:t>
      </w:r>
      <w:r>
        <w:t xml:space="preserve"> RF requirements were resolved</w:t>
      </w:r>
      <w:r w:rsidR="003B65D7">
        <w:t>. In this contribution, we analyze the remaining open issues</w:t>
      </w:r>
      <w:r w:rsidR="008261CE">
        <w:t xml:space="preserve"> of emissions requirements</w:t>
      </w:r>
      <w:r w:rsidR="0001601B">
        <w:t xml:space="preserve"> and ACS</w:t>
      </w:r>
      <w:r w:rsidR="003B65D7">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706941B" w14:textId="77777777" w:rsidR="00FD0D84" w:rsidRDefault="00FD0D84" w:rsidP="00FD0D84">
      <w:pPr>
        <w:rPr>
          <w:lang w:val="en-GB" w:eastAsia="ja-JP"/>
        </w:rPr>
      </w:pPr>
    </w:p>
    <w:p w14:paraId="79708DB3" w14:textId="450DB8A9" w:rsidR="00FD0D84" w:rsidRPr="00FF14C2" w:rsidRDefault="00FF14C2" w:rsidP="00FD0D84">
      <w:pPr>
        <w:rPr>
          <w:u w:val="single"/>
          <w:lang w:val="en-GB" w:eastAsia="ja-JP"/>
        </w:rPr>
      </w:pPr>
      <w:r w:rsidRPr="00FF14C2">
        <w:rPr>
          <w:u w:val="single"/>
          <w:lang w:val="en-GB" w:eastAsia="ja-JP"/>
        </w:rPr>
        <w:t>Summation of emissions from NCR-FWD and NCR-MT</w:t>
      </w:r>
    </w:p>
    <w:p w14:paraId="16D637CE" w14:textId="7F33F8AE" w:rsidR="00935634" w:rsidRDefault="00FF14C2" w:rsidP="00FD0D84">
      <w:pPr>
        <w:rPr>
          <w:lang w:val="en-GB" w:eastAsia="ja-JP"/>
        </w:rPr>
      </w:pPr>
      <w:r>
        <w:rPr>
          <w:lang w:val="en-GB" w:eastAsia="ja-JP"/>
        </w:rPr>
        <w:t>For the downlink, support for</w:t>
      </w:r>
      <w:r w:rsidR="00C62F9D">
        <w:rPr>
          <w:lang w:val="en-GB" w:eastAsia="ja-JP"/>
        </w:rPr>
        <w:t xml:space="preserve"> simultaneous operation of NCR-FWD and NCR-MT is mandatory. Since </w:t>
      </w:r>
      <w:r w:rsidR="000432CB">
        <w:rPr>
          <w:lang w:val="en-GB" w:eastAsia="ja-JP"/>
        </w:rPr>
        <w:t>only the NCR-FWD transmits in DL, emissions requirements need only be defined for NCR-FWD</w:t>
      </w:r>
      <w:r w:rsidR="00C62F9D">
        <w:rPr>
          <w:lang w:val="en-GB" w:eastAsia="ja-JP"/>
        </w:rPr>
        <w:t>.</w:t>
      </w:r>
    </w:p>
    <w:p w14:paraId="4A919EE4" w14:textId="77777777" w:rsidR="00CE6121" w:rsidRDefault="00CE6121" w:rsidP="00CE6121">
      <w:pPr>
        <w:pStyle w:val="Proposal"/>
        <w:rPr>
          <w:lang w:val="en-GB"/>
        </w:rPr>
      </w:pPr>
      <w:bookmarkStart w:id="1" w:name="_Toc134298479"/>
      <w:bookmarkStart w:id="2" w:name="_Toc135050296"/>
      <w:r>
        <w:rPr>
          <w:lang w:val="en-GB"/>
        </w:rPr>
        <w:t>Downlink (i.e., UE side) TX emissions requirements are only defined for the NCR-FWD.</w:t>
      </w:r>
      <w:bookmarkEnd w:id="1"/>
      <w:bookmarkEnd w:id="2"/>
    </w:p>
    <w:p w14:paraId="56767662" w14:textId="7EC4F22D" w:rsidR="00C62F9D" w:rsidRDefault="00C62F9D" w:rsidP="00FD0D84">
      <w:pPr>
        <w:rPr>
          <w:lang w:val="en-GB" w:eastAsia="ja-JP"/>
        </w:rPr>
      </w:pPr>
      <w:r>
        <w:rPr>
          <w:lang w:val="en-GB" w:eastAsia="ja-JP"/>
        </w:rPr>
        <w:t xml:space="preserve">For the uplink, support of simultaneous NCR-FWD and NCR-MT is optional. </w:t>
      </w:r>
      <w:r w:rsidR="00AA076A">
        <w:rPr>
          <w:lang w:val="en-GB" w:eastAsia="ja-JP"/>
        </w:rPr>
        <w:t xml:space="preserve">If simultaneous operation is </w:t>
      </w:r>
      <w:r w:rsidR="0035359B">
        <w:rPr>
          <w:lang w:val="en-GB" w:eastAsia="ja-JP"/>
        </w:rPr>
        <w:t>supported,</w:t>
      </w:r>
      <w:r w:rsidR="00AA076A">
        <w:rPr>
          <w:lang w:val="en-GB" w:eastAsia="ja-JP"/>
        </w:rPr>
        <w:t xml:space="preserve"> then the emissions limit should be on the combined emissions from NCR-FWD and NCR-MT. If it is declared not supported, then the emissions limits for UL could be met by NCR-FWD and NCR-MT separately.</w:t>
      </w:r>
    </w:p>
    <w:p w14:paraId="37947A3F" w14:textId="77777777" w:rsidR="001D5814" w:rsidRDefault="001D5814" w:rsidP="001D5814">
      <w:pPr>
        <w:pStyle w:val="Proposal"/>
        <w:rPr>
          <w:lang w:val="en-GB"/>
        </w:rPr>
      </w:pPr>
      <w:bookmarkStart w:id="3" w:name="_Toc134298480"/>
      <w:bookmarkStart w:id="4" w:name="_Toc135050297"/>
      <w:r>
        <w:rPr>
          <w:lang w:val="en-GB"/>
        </w:rPr>
        <w:t>If the NCR supports simultaneous MT and FWD transmission, then the UL (</w:t>
      </w:r>
      <w:proofErr w:type="gramStart"/>
      <w:r>
        <w:rPr>
          <w:lang w:val="en-GB"/>
        </w:rPr>
        <w:t>i.e.</w:t>
      </w:r>
      <w:proofErr w:type="gramEnd"/>
      <w:r>
        <w:rPr>
          <w:lang w:val="en-GB"/>
        </w:rPr>
        <w:t xml:space="preserve"> BS side) TX emissions requirements should be defined on the total emissions from MT and FWD.</w:t>
      </w:r>
      <w:bookmarkEnd w:id="3"/>
      <w:bookmarkEnd w:id="4"/>
      <w:r>
        <w:rPr>
          <w:lang w:val="en-GB"/>
        </w:rPr>
        <w:t xml:space="preserve"> </w:t>
      </w:r>
    </w:p>
    <w:p w14:paraId="5622A4AB" w14:textId="4F5F23DF" w:rsidR="001D5814" w:rsidRDefault="001D5814" w:rsidP="001D5814">
      <w:pPr>
        <w:pStyle w:val="Proposal"/>
        <w:rPr>
          <w:lang w:val="en-GB"/>
        </w:rPr>
      </w:pPr>
      <w:bookmarkStart w:id="5" w:name="_Toc134298481"/>
      <w:bookmarkStart w:id="6" w:name="_Toc135050298"/>
      <w:r>
        <w:rPr>
          <w:lang w:val="en-GB"/>
        </w:rPr>
        <w:t xml:space="preserve">If the NCR does not support simultaneous MT and FWD </w:t>
      </w:r>
      <w:r w:rsidR="0035359B">
        <w:rPr>
          <w:lang w:val="en-GB"/>
        </w:rPr>
        <w:t>transmission,</w:t>
      </w:r>
      <w:r>
        <w:rPr>
          <w:lang w:val="en-GB"/>
        </w:rPr>
        <w:t xml:space="preserve"> then the UL (</w:t>
      </w:r>
      <w:proofErr w:type="gramStart"/>
      <w:r>
        <w:rPr>
          <w:lang w:val="en-GB"/>
        </w:rPr>
        <w:t>i.e.</w:t>
      </w:r>
      <w:proofErr w:type="gramEnd"/>
      <w:r>
        <w:rPr>
          <w:lang w:val="en-GB"/>
        </w:rPr>
        <w:t xml:space="preserve"> BS side) TX emissions requirements can be defined separately for the FWD and MT</w:t>
      </w:r>
      <w:bookmarkEnd w:id="5"/>
      <w:bookmarkEnd w:id="6"/>
    </w:p>
    <w:p w14:paraId="1A04A496" w14:textId="6FBC0251" w:rsidR="00AA076A" w:rsidRDefault="00AA076A" w:rsidP="00FD0D84">
      <w:pPr>
        <w:rPr>
          <w:lang w:val="en-GB" w:eastAsia="ja-JP"/>
        </w:rPr>
      </w:pPr>
      <w:r>
        <w:rPr>
          <w:lang w:val="en-GB" w:eastAsia="ja-JP"/>
        </w:rPr>
        <w:t xml:space="preserve">It is important to note that </w:t>
      </w:r>
      <w:r w:rsidR="00390F69">
        <w:rPr>
          <w:lang w:val="en-GB" w:eastAsia="ja-JP"/>
        </w:rPr>
        <w:t>defining emissions on the combination of NCR-FWD and NCR-MT does not imply that the emissions must be measured simultaneously</w:t>
      </w:r>
      <w:r w:rsidR="00EA1910">
        <w:rPr>
          <w:lang w:val="en-GB" w:eastAsia="ja-JP"/>
        </w:rPr>
        <w:t xml:space="preserve"> during the conformance test. If, for example the NCR-FWD and NCR-MT have separate connectors, it is feasible to measure the emissions for each part on each connector, calculate the sum and then compare the sum to the limit.</w:t>
      </w:r>
    </w:p>
    <w:p w14:paraId="6FD4366D" w14:textId="77777777" w:rsidR="000254B5" w:rsidRDefault="000254B5" w:rsidP="000254B5">
      <w:pPr>
        <w:pStyle w:val="Observation"/>
        <w:rPr>
          <w:lang w:val="en-GB"/>
        </w:rPr>
      </w:pPr>
      <w:bookmarkStart w:id="7" w:name="_Toc134298472"/>
      <w:bookmarkStart w:id="8" w:name="_Toc135050293"/>
      <w:r>
        <w:rPr>
          <w:lang w:val="en-GB"/>
        </w:rPr>
        <w:t>If the emissions requirements are defined on the total emissions from MT and FWD, this does not imply that the emissions of MT and FWD need to be measured together as part of conformance testing.</w:t>
      </w:r>
      <w:bookmarkEnd w:id="7"/>
      <w:bookmarkEnd w:id="8"/>
    </w:p>
    <w:p w14:paraId="1BD90652" w14:textId="77777777" w:rsidR="000254B5" w:rsidRDefault="000254B5" w:rsidP="00FD0D84">
      <w:pPr>
        <w:rPr>
          <w:lang w:val="en-GB" w:eastAsia="ja-JP"/>
        </w:rPr>
      </w:pPr>
    </w:p>
    <w:p w14:paraId="39E14941" w14:textId="03A56CD9" w:rsidR="00D86323" w:rsidRDefault="00AC2CC9" w:rsidP="00FD0D84">
      <w:pPr>
        <w:rPr>
          <w:lang w:val="en-GB" w:eastAsia="ja-JP"/>
        </w:rPr>
      </w:pPr>
      <w:r>
        <w:rPr>
          <w:lang w:val="en-GB" w:eastAsia="ja-JP"/>
        </w:rPr>
        <w:lastRenderedPageBreak/>
        <w:t xml:space="preserve">Where the emissions are met by the combination of FWD and MT, it is necessary to consider how to define the OBUE requirements and the ACLR. The OBUE requirements are based on offset from the RF bandwidth. </w:t>
      </w:r>
      <w:r w:rsidR="00B75AF4">
        <w:rPr>
          <w:lang w:val="en-GB" w:eastAsia="ja-JP"/>
        </w:rPr>
        <w:t>Whe</w:t>
      </w:r>
      <w:r w:rsidR="00D86323">
        <w:rPr>
          <w:lang w:val="en-GB" w:eastAsia="ja-JP"/>
        </w:rPr>
        <w:t>re emissions are defined on the combination of MT and FWD, the RF bandwidth should be based on the maximum RF bandwidth considering FWD passband and MT carrier positions.</w:t>
      </w:r>
      <w:r w:rsidR="0051001E">
        <w:rPr>
          <w:lang w:val="en-GB" w:eastAsia="ja-JP"/>
        </w:rPr>
        <w:t xml:space="preserve"> The core requirement can be defined in the same manner as for the Rel-17 repeater, based on the bandwidth edge.</w:t>
      </w:r>
    </w:p>
    <w:p w14:paraId="44109790" w14:textId="77777777" w:rsidR="00B077D6" w:rsidRDefault="00B077D6" w:rsidP="00B077D6">
      <w:pPr>
        <w:pStyle w:val="Proposal"/>
        <w:rPr>
          <w:lang w:val="en-GB"/>
        </w:rPr>
      </w:pPr>
      <w:bookmarkStart w:id="9" w:name="_Hlk134291692"/>
      <w:bookmarkStart w:id="10" w:name="_Toc134298482"/>
      <w:bookmarkStart w:id="11" w:name="_Toc135050299"/>
      <w:r>
        <w:rPr>
          <w:lang w:val="en-GB"/>
        </w:rPr>
        <w:t>If the TX emissions for the BS side are defined on the sum of MT and FWD,</w:t>
      </w:r>
      <w:bookmarkEnd w:id="9"/>
      <w:r>
        <w:rPr>
          <w:lang w:val="en-GB"/>
        </w:rPr>
        <w:t xml:space="preserve"> the RF bandwidth should be the total bandwidth of passband and the MT carrier.</w:t>
      </w:r>
      <w:bookmarkEnd w:id="10"/>
      <w:bookmarkEnd w:id="11"/>
    </w:p>
    <w:p w14:paraId="26D87DC1" w14:textId="72CF76A5" w:rsidR="0051001E" w:rsidRDefault="0051001E" w:rsidP="00FD0D84">
      <w:pPr>
        <w:rPr>
          <w:lang w:val="en-GB" w:eastAsia="ja-JP"/>
        </w:rPr>
      </w:pPr>
      <w:r>
        <w:rPr>
          <w:lang w:val="en-GB" w:eastAsia="ja-JP"/>
        </w:rPr>
        <w:t xml:space="preserve">The ACLR should </w:t>
      </w:r>
      <w:proofErr w:type="gramStart"/>
      <w:r>
        <w:rPr>
          <w:lang w:val="en-GB" w:eastAsia="ja-JP"/>
        </w:rPr>
        <w:t>take into account</w:t>
      </w:r>
      <w:proofErr w:type="gramEnd"/>
      <w:r>
        <w:rPr>
          <w:lang w:val="en-GB" w:eastAsia="ja-JP"/>
        </w:rPr>
        <w:t xml:space="preserve"> emissions from both FWD and MT. The MT will have a carrier bandwidth, and the FWD part has a nominal carrier bandwidth defined. When the emissions are defined on the combination of FWD and MT then, in order that the MT part can be measured, the ACLR carrier bandwidth for the combined emissions should defined as the MT carrier bandwidth.</w:t>
      </w:r>
    </w:p>
    <w:p w14:paraId="3686A82B" w14:textId="77777777" w:rsidR="00A60D7A" w:rsidRDefault="00A60D7A" w:rsidP="00A60D7A">
      <w:pPr>
        <w:pStyle w:val="Proposal"/>
        <w:rPr>
          <w:lang w:val="en-GB" w:eastAsia="ja-JP"/>
        </w:rPr>
      </w:pPr>
      <w:bookmarkStart w:id="12" w:name="_Toc134298483"/>
      <w:bookmarkStart w:id="13" w:name="_Toc135050300"/>
      <w:r w:rsidRPr="0092411C">
        <w:rPr>
          <w:lang w:val="en-GB"/>
        </w:rPr>
        <w:t>If the TX emissions for the BS side are defined on the sum of MT and FWD,</w:t>
      </w:r>
      <w:r>
        <w:rPr>
          <w:lang w:val="en-GB"/>
        </w:rPr>
        <w:t xml:space="preserve"> the bandwidth for the ACLR requirement shall be the MT channel bandwidth.</w:t>
      </w:r>
      <w:bookmarkEnd w:id="12"/>
      <w:bookmarkEnd w:id="13"/>
    </w:p>
    <w:p w14:paraId="6F8C98FC" w14:textId="77777777" w:rsidR="00F74DC5" w:rsidRDefault="00F74DC5" w:rsidP="00F74DC5">
      <w:pPr>
        <w:rPr>
          <w:lang w:val="en-GB" w:eastAsia="ja-JP"/>
        </w:rPr>
      </w:pPr>
    </w:p>
    <w:p w14:paraId="1DB8D2AB" w14:textId="6946755E" w:rsidR="00F74DC5" w:rsidRPr="00E20CB1" w:rsidRDefault="0051001E" w:rsidP="00F74DC5">
      <w:pPr>
        <w:rPr>
          <w:u w:val="single"/>
          <w:lang w:val="en-GB" w:eastAsia="ja-JP"/>
        </w:rPr>
      </w:pPr>
      <w:r w:rsidRPr="00E20CB1">
        <w:rPr>
          <w:u w:val="single"/>
          <w:lang w:val="en-GB" w:eastAsia="ja-JP"/>
        </w:rPr>
        <w:t>Emissions scaling and regulatory limits</w:t>
      </w:r>
    </w:p>
    <w:p w14:paraId="47B4BE36" w14:textId="7EC5F7F9" w:rsidR="00426ED8" w:rsidRDefault="00426ED8" w:rsidP="00F74DC5">
      <w:pPr>
        <w:rPr>
          <w:lang w:val="en-GB" w:eastAsia="ja-JP"/>
        </w:rPr>
      </w:pPr>
      <w:r>
        <w:rPr>
          <w:lang w:val="en-GB" w:eastAsia="ja-JP"/>
        </w:rPr>
        <w:t>In the previous meeting, it was proposed to scale spurious emissions according to the number of TAB connectors, or 9dB in the case of OTA. In some regions, regulatory limits do not allow for emissions scaling. For these requirements, the scaling should not be applied (in the same manner as the BS specification).</w:t>
      </w:r>
    </w:p>
    <w:p w14:paraId="4F230C6D" w14:textId="77777777" w:rsidR="00F57056" w:rsidRDefault="00F57056" w:rsidP="00F57056">
      <w:pPr>
        <w:pStyle w:val="Proposal"/>
        <w:rPr>
          <w:lang w:val="en-GB"/>
        </w:rPr>
      </w:pPr>
      <w:bookmarkStart w:id="14" w:name="_Toc134298484"/>
      <w:bookmarkStart w:id="15" w:name="_Toc135050301"/>
      <w:r>
        <w:rPr>
          <w:lang w:val="en-GB"/>
        </w:rPr>
        <w:t>Emissions scaling shall not be defined where it is not allowed by regulations.</w:t>
      </w:r>
      <w:bookmarkEnd w:id="14"/>
      <w:bookmarkEnd w:id="15"/>
    </w:p>
    <w:p w14:paraId="587D0483" w14:textId="77777777" w:rsidR="00F57056" w:rsidRDefault="00F57056" w:rsidP="00F74DC5">
      <w:pPr>
        <w:rPr>
          <w:lang w:val="en-GB" w:eastAsia="ja-JP"/>
        </w:rPr>
      </w:pPr>
    </w:p>
    <w:p w14:paraId="6DE36677" w14:textId="77777777" w:rsidR="00426ED8" w:rsidRDefault="00426ED8" w:rsidP="00F74DC5">
      <w:pPr>
        <w:rPr>
          <w:lang w:val="en-GB" w:eastAsia="ja-JP"/>
        </w:rPr>
      </w:pPr>
    </w:p>
    <w:p w14:paraId="2689D9EC" w14:textId="79FACD40" w:rsidR="00FD7F12" w:rsidRPr="00362392" w:rsidRDefault="00FD7F12" w:rsidP="00F74DC5">
      <w:pPr>
        <w:rPr>
          <w:u w:val="single"/>
          <w:lang w:val="en-GB" w:eastAsia="ja-JP"/>
        </w:rPr>
      </w:pPr>
      <w:r w:rsidRPr="00362392">
        <w:rPr>
          <w:u w:val="single"/>
          <w:lang w:val="en-GB" w:eastAsia="ja-JP"/>
        </w:rPr>
        <w:t>ACLR requirement for LA repeat</w:t>
      </w:r>
      <w:r w:rsidR="000D39F1" w:rsidRPr="00362392">
        <w:rPr>
          <w:u w:val="single"/>
          <w:lang w:val="en-GB" w:eastAsia="ja-JP"/>
        </w:rPr>
        <w:t>er</w:t>
      </w:r>
    </w:p>
    <w:p w14:paraId="30069832" w14:textId="420AC104" w:rsidR="000D39F1" w:rsidRDefault="002251DE" w:rsidP="00F74DC5">
      <w:pPr>
        <w:rPr>
          <w:lang w:val="en-GB" w:eastAsia="ja-JP"/>
        </w:rPr>
      </w:pPr>
      <w:r>
        <w:rPr>
          <w:lang w:val="en-GB" w:eastAsia="ja-JP"/>
        </w:rPr>
        <w:t>For IAB, the ACLR for the LA IAB-MT class is based on the BS specification. During RAN4#10</w:t>
      </w:r>
      <w:r w:rsidR="00AF4D40">
        <w:rPr>
          <w:lang w:val="en-GB" w:eastAsia="ja-JP"/>
        </w:rPr>
        <w:t>6bis-e</w:t>
      </w:r>
      <w:r>
        <w:rPr>
          <w:lang w:val="en-GB" w:eastAsia="ja-JP"/>
        </w:rPr>
        <w:t>, it was proposed that the NCR-MT ACLR should be based on the UE requirement for the LA class. Since the NCR LA class is based on UE power levels and transmits in the uplink</w:t>
      </w:r>
      <w:r w:rsidR="00AF4D40">
        <w:rPr>
          <w:lang w:val="en-GB" w:eastAsia="ja-JP"/>
        </w:rPr>
        <w:t xml:space="preserve"> only, it is reasonable to adopt the UE ACLR for the NCR-MT. </w:t>
      </w:r>
      <w:r w:rsidR="00D274DD">
        <w:rPr>
          <w:lang w:val="en-GB" w:eastAsia="ja-JP"/>
        </w:rPr>
        <w:t>However,</w:t>
      </w:r>
      <w:r w:rsidR="00AF4D40">
        <w:rPr>
          <w:lang w:val="en-GB" w:eastAsia="ja-JP"/>
        </w:rPr>
        <w:t xml:space="preserve"> in this case then, </w:t>
      </w:r>
      <w:proofErr w:type="gramStart"/>
      <w:r w:rsidR="00AF4D40">
        <w:rPr>
          <w:lang w:val="en-GB" w:eastAsia="ja-JP"/>
        </w:rPr>
        <w:t>in order to</w:t>
      </w:r>
      <w:proofErr w:type="gramEnd"/>
      <w:r w:rsidR="00AF4D40">
        <w:rPr>
          <w:lang w:val="en-GB" w:eastAsia="ja-JP"/>
        </w:rPr>
        <w:t xml:space="preserve"> enable the emissions to be defined on both NCR-MT and NCR-FWD together if they can transmit simultaneously, it is necessary to mandate that the NCR-FWD and NCR-MT belong to the same class.</w:t>
      </w:r>
    </w:p>
    <w:p w14:paraId="479C927B" w14:textId="23B67C1F" w:rsidR="00F57056" w:rsidRDefault="00F57056" w:rsidP="00F57056">
      <w:pPr>
        <w:pStyle w:val="Proposal"/>
        <w:rPr>
          <w:lang w:val="en-GB"/>
        </w:rPr>
      </w:pPr>
      <w:bookmarkStart w:id="16" w:name="_Toc135050302"/>
      <w:r>
        <w:rPr>
          <w:lang w:val="en-GB"/>
        </w:rPr>
        <w:t xml:space="preserve">It is OK to allow the ACLR and emissions requirements for the LA IAB-MT class to </w:t>
      </w:r>
      <w:r w:rsidR="00E37272">
        <w:rPr>
          <w:lang w:val="en-GB"/>
        </w:rPr>
        <w:t>be the same as for the UE. However, then the same class should be applied to both NCR-FWD and NCR-MT in uplink.</w:t>
      </w:r>
      <w:bookmarkEnd w:id="16"/>
    </w:p>
    <w:p w14:paraId="6ED854BF" w14:textId="77777777" w:rsidR="00362392" w:rsidRDefault="00362392" w:rsidP="00F74DC5">
      <w:pPr>
        <w:rPr>
          <w:lang w:val="en-GB" w:eastAsia="ja-JP"/>
        </w:rPr>
      </w:pPr>
    </w:p>
    <w:p w14:paraId="6F768419" w14:textId="3D581383" w:rsidR="000D39F1" w:rsidRPr="00AF4D40" w:rsidRDefault="000D39F1" w:rsidP="00F74DC5">
      <w:pPr>
        <w:rPr>
          <w:u w:val="single"/>
          <w:lang w:val="en-GB" w:eastAsia="ja-JP"/>
        </w:rPr>
      </w:pPr>
      <w:r w:rsidRPr="00AF4D40">
        <w:rPr>
          <w:u w:val="single"/>
          <w:lang w:val="en-GB" w:eastAsia="ja-JP"/>
        </w:rPr>
        <w:t>ACS requirement for LA repeater</w:t>
      </w:r>
    </w:p>
    <w:p w14:paraId="3FA92FD8" w14:textId="064B98F0" w:rsidR="00FD7F12" w:rsidRDefault="00AF4D40" w:rsidP="00F74DC5">
      <w:pPr>
        <w:rPr>
          <w:lang w:val="en-GB" w:eastAsia="ja-JP"/>
        </w:rPr>
      </w:pPr>
      <w:proofErr w:type="gramStart"/>
      <w:r>
        <w:rPr>
          <w:lang w:val="en-GB" w:eastAsia="ja-JP"/>
        </w:rPr>
        <w:t>Simila</w:t>
      </w:r>
      <w:r w:rsidR="00A34367">
        <w:rPr>
          <w:lang w:val="en-GB" w:eastAsia="ja-JP"/>
        </w:rPr>
        <w:t>r</w:t>
      </w:r>
      <w:r>
        <w:rPr>
          <w:lang w:val="en-GB" w:eastAsia="ja-JP"/>
        </w:rPr>
        <w:t xml:space="preserve"> to</w:t>
      </w:r>
      <w:proofErr w:type="gramEnd"/>
      <w:r>
        <w:rPr>
          <w:lang w:val="en-GB" w:eastAsia="ja-JP"/>
        </w:rPr>
        <w:t xml:space="preserve"> the ACLR, for an IAB the ACS is defined based on the BS specification. For an LA NCR-MT, since the NCR-MT can only receive during DL slots it is reasonable to apply the UE ACS, as proposed at RAN4#106bis-e</w:t>
      </w:r>
      <w:r w:rsidR="00FD7B23">
        <w:rPr>
          <w:lang w:val="en-GB" w:eastAsia="ja-JP"/>
        </w:rPr>
        <w:t>.</w:t>
      </w:r>
    </w:p>
    <w:p w14:paraId="50AEDAE7" w14:textId="741EE90D" w:rsidR="00E37272" w:rsidRDefault="00E37272" w:rsidP="00E37272">
      <w:pPr>
        <w:pStyle w:val="Proposal"/>
        <w:rPr>
          <w:lang w:val="en-GB"/>
        </w:rPr>
      </w:pPr>
      <w:bookmarkStart w:id="17" w:name="_Toc135050303"/>
      <w:r>
        <w:rPr>
          <w:lang w:val="en-GB"/>
        </w:rPr>
        <w:t>It is OK to use UE ACS for the LA NCR-MT</w:t>
      </w:r>
      <w:bookmarkEnd w:id="17"/>
    </w:p>
    <w:p w14:paraId="67E51864" w14:textId="77777777" w:rsidR="00AF4D40" w:rsidRDefault="00AF4D40" w:rsidP="00F74DC5">
      <w:pPr>
        <w:rPr>
          <w:lang w:val="en-GB" w:eastAsia="ja-JP"/>
        </w:rPr>
      </w:pPr>
    </w:p>
    <w:p w14:paraId="26444A10" w14:textId="446B225B" w:rsidR="00F74DC5" w:rsidRPr="00426ED8" w:rsidRDefault="00097762" w:rsidP="00F74DC5">
      <w:pPr>
        <w:rPr>
          <w:u w:val="single"/>
          <w:lang w:val="en-GB" w:eastAsia="ja-JP"/>
        </w:rPr>
      </w:pPr>
      <w:r w:rsidRPr="00426ED8">
        <w:rPr>
          <w:u w:val="single"/>
          <w:lang w:val="en-GB" w:eastAsia="ja-JP"/>
        </w:rPr>
        <w:t>ON/OFF power</w:t>
      </w:r>
      <w:r w:rsidR="00426ED8" w:rsidRPr="00426ED8">
        <w:rPr>
          <w:u w:val="single"/>
          <w:lang w:val="en-GB" w:eastAsia="ja-JP"/>
        </w:rPr>
        <w:t xml:space="preserve"> and transient time</w:t>
      </w:r>
    </w:p>
    <w:p w14:paraId="4883CD8E" w14:textId="38DF857B" w:rsidR="00A5287B" w:rsidRDefault="00426ED8" w:rsidP="00F74DC5">
      <w:pPr>
        <w:rPr>
          <w:lang w:val="en-GB" w:eastAsia="ja-JP"/>
        </w:rPr>
      </w:pPr>
      <w:r>
        <w:rPr>
          <w:lang w:val="en-GB" w:eastAsia="ja-JP"/>
        </w:rPr>
        <w:t xml:space="preserve">Since the TDD DL/UL </w:t>
      </w:r>
      <w:r w:rsidR="005E73C2">
        <w:rPr>
          <w:lang w:val="en-GB" w:eastAsia="ja-JP"/>
        </w:rPr>
        <w:t>pattern applies to both the NCR FWD and NCR MT, logically the FWD and MT, if switching, must switch at the same time</w:t>
      </w:r>
      <w:r w:rsidR="008E583F">
        <w:rPr>
          <w:lang w:val="en-GB" w:eastAsia="ja-JP"/>
        </w:rPr>
        <w:t>.</w:t>
      </w:r>
    </w:p>
    <w:p w14:paraId="7E100731" w14:textId="439C7AAB" w:rsidR="008E583F" w:rsidRDefault="008E583F" w:rsidP="00F74DC5">
      <w:pPr>
        <w:rPr>
          <w:lang w:val="en-GB" w:eastAsia="ja-JP"/>
        </w:rPr>
      </w:pPr>
      <w:r>
        <w:rPr>
          <w:lang w:val="en-GB" w:eastAsia="ja-JP"/>
        </w:rPr>
        <w:t xml:space="preserve">The transient time could be defined and measured on FWD and MT together. </w:t>
      </w:r>
      <w:r w:rsidR="00A34367">
        <w:rPr>
          <w:lang w:val="en-GB" w:eastAsia="ja-JP"/>
        </w:rPr>
        <w:t>However,</w:t>
      </w:r>
      <w:r>
        <w:rPr>
          <w:lang w:val="en-GB" w:eastAsia="ja-JP"/>
        </w:rPr>
        <w:t xml:space="preserve"> it does no harm to define and measure the transient time separately either.</w:t>
      </w:r>
    </w:p>
    <w:p w14:paraId="347BE277" w14:textId="77777777" w:rsidR="00C63958" w:rsidRDefault="00C63958" w:rsidP="00C63958">
      <w:pPr>
        <w:pStyle w:val="Proposal"/>
        <w:rPr>
          <w:lang w:val="en-GB"/>
        </w:rPr>
      </w:pPr>
      <w:bookmarkStart w:id="18" w:name="_Toc134298485"/>
      <w:bookmarkStart w:id="19" w:name="_Toc135050304"/>
      <w:r>
        <w:rPr>
          <w:lang w:val="en-GB"/>
        </w:rPr>
        <w:t>The transient time can be defined for FWD and MT separately</w:t>
      </w:r>
      <w:bookmarkEnd w:id="18"/>
      <w:bookmarkEnd w:id="19"/>
    </w:p>
    <w:p w14:paraId="646FEA49" w14:textId="77777777" w:rsidR="00C63958" w:rsidRDefault="00C63958" w:rsidP="00F74DC5">
      <w:pPr>
        <w:rPr>
          <w:lang w:val="en-GB" w:eastAsia="ja-JP"/>
        </w:rPr>
      </w:pPr>
    </w:p>
    <w:p w14:paraId="1ACF23CC" w14:textId="7EF989D0" w:rsidR="008E583F" w:rsidRDefault="008E583F" w:rsidP="00F74DC5">
      <w:pPr>
        <w:rPr>
          <w:lang w:val="en-GB" w:eastAsia="ja-JP"/>
        </w:rPr>
      </w:pPr>
      <w:r>
        <w:rPr>
          <w:lang w:val="en-GB" w:eastAsia="ja-JP"/>
        </w:rPr>
        <w:t xml:space="preserve">Due to simultaneous operation of FWD and MT, the </w:t>
      </w:r>
      <w:proofErr w:type="gramStart"/>
      <w:r>
        <w:rPr>
          <w:lang w:val="en-GB" w:eastAsia="ja-JP"/>
        </w:rPr>
        <w:t>OFF power</w:t>
      </w:r>
      <w:proofErr w:type="gramEnd"/>
      <w:r>
        <w:rPr>
          <w:lang w:val="en-GB" w:eastAsia="ja-JP"/>
        </w:rPr>
        <w:t xml:space="preserve"> level should be met by the combined output of MT and FWD for DL, and also for UL if simultaneous operation is supported, in the same manner as for emissions.</w:t>
      </w:r>
    </w:p>
    <w:p w14:paraId="7D177973" w14:textId="77777777" w:rsidR="00C63958" w:rsidRDefault="00C63958" w:rsidP="00C63958">
      <w:pPr>
        <w:pStyle w:val="Proposal"/>
        <w:rPr>
          <w:lang w:val="en-GB"/>
        </w:rPr>
      </w:pPr>
      <w:bookmarkStart w:id="20" w:name="_Toc134298486"/>
      <w:bookmarkStart w:id="21" w:name="_Toc135050305"/>
      <w:r>
        <w:rPr>
          <w:lang w:val="en-GB"/>
        </w:rPr>
        <w:t>The OFF power should be defined as the total OFF power from the MT and FWD</w:t>
      </w:r>
      <w:bookmarkEnd w:id="20"/>
      <w:bookmarkEnd w:id="21"/>
    </w:p>
    <w:p w14:paraId="02A7DEB5" w14:textId="77777777" w:rsidR="00C63958" w:rsidRDefault="00C63958" w:rsidP="00F74DC5">
      <w:pPr>
        <w:rPr>
          <w:lang w:val="en-GB" w:eastAsia="ja-JP"/>
        </w:rPr>
      </w:pPr>
    </w:p>
    <w:p w14:paraId="36D9A94F" w14:textId="77777777" w:rsidR="00A5287B" w:rsidRDefault="00A5287B" w:rsidP="00F74DC5">
      <w:pPr>
        <w:rPr>
          <w:lang w:val="en-GB" w:eastAsia="ja-JP"/>
        </w:rPr>
      </w:pPr>
    </w:p>
    <w:p w14:paraId="3879E8F8" w14:textId="77777777" w:rsidR="00C473A5" w:rsidRDefault="00C473A5" w:rsidP="00CE0424">
      <w:pPr>
        <w:pStyle w:val="Heading1"/>
        <w:sectPr w:rsidR="00C473A5" w:rsidSect="008E583F">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AD44520" w14:textId="506E1756" w:rsidR="001A7058"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5050293" w:history="1">
        <w:r w:rsidR="001A7058" w:rsidRPr="009C02B0">
          <w:rPr>
            <w:rStyle w:val="Hyperlink"/>
            <w:noProof/>
            <w:lang w:val="en-GB"/>
          </w:rPr>
          <w:t>Observation 1</w:t>
        </w:r>
        <w:r w:rsidR="001A7058">
          <w:rPr>
            <w:rFonts w:asciiTheme="minorHAnsi" w:eastAsiaTheme="minorEastAsia" w:hAnsiTheme="minorHAnsi"/>
            <w:b w:val="0"/>
            <w:noProof/>
            <w:sz w:val="22"/>
            <w:lang w:val="en-SE" w:eastAsia="en-SE"/>
          </w:rPr>
          <w:tab/>
        </w:r>
        <w:r w:rsidR="001A7058" w:rsidRPr="009C02B0">
          <w:rPr>
            <w:rStyle w:val="Hyperlink"/>
            <w:noProof/>
            <w:lang w:val="en-GB"/>
          </w:rPr>
          <w:t>If the emissions requirements are defined on the total emissions from MT and FWD, this does not imply that the emissions of MT and FWD need to be measured together as part of conformance testing.</w:t>
        </w:r>
      </w:hyperlink>
    </w:p>
    <w:p w14:paraId="5F69EC0F" w14:textId="5C6CA3BB"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6A18BD3" w14:textId="046F42F5" w:rsidR="001A7058"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050296" w:history="1">
        <w:r w:rsidR="001A7058" w:rsidRPr="00A73533">
          <w:rPr>
            <w:rStyle w:val="Hyperlink"/>
            <w:noProof/>
            <w:lang w:val="en-GB"/>
          </w:rPr>
          <w:t>Proposal 1</w:t>
        </w:r>
        <w:r w:rsidR="001A7058">
          <w:rPr>
            <w:rFonts w:asciiTheme="minorHAnsi" w:eastAsiaTheme="minorEastAsia" w:hAnsiTheme="minorHAnsi"/>
            <w:b w:val="0"/>
            <w:noProof/>
            <w:sz w:val="22"/>
            <w:lang w:val="en-SE" w:eastAsia="en-SE"/>
          </w:rPr>
          <w:tab/>
        </w:r>
        <w:r w:rsidR="001A7058" w:rsidRPr="00A73533">
          <w:rPr>
            <w:rStyle w:val="Hyperlink"/>
            <w:noProof/>
            <w:lang w:val="en-GB"/>
          </w:rPr>
          <w:t>Downlink (i.e., UE side) TX emissions requirements are only defined for the NCR-FWD.</w:t>
        </w:r>
      </w:hyperlink>
    </w:p>
    <w:p w14:paraId="0E7E0FD9" w14:textId="312DF9F9" w:rsidR="001A7058" w:rsidRDefault="009B6905">
      <w:pPr>
        <w:pStyle w:val="TableofFigures"/>
        <w:tabs>
          <w:tab w:val="right" w:leader="dot" w:pos="9629"/>
        </w:tabs>
        <w:rPr>
          <w:rFonts w:asciiTheme="minorHAnsi" w:eastAsiaTheme="minorEastAsia" w:hAnsiTheme="minorHAnsi"/>
          <w:b w:val="0"/>
          <w:noProof/>
          <w:sz w:val="22"/>
          <w:lang w:val="en-SE" w:eastAsia="en-SE"/>
        </w:rPr>
      </w:pPr>
      <w:hyperlink w:anchor="_Toc135050297" w:history="1">
        <w:r w:rsidR="001A7058" w:rsidRPr="00A73533">
          <w:rPr>
            <w:rStyle w:val="Hyperlink"/>
            <w:noProof/>
            <w:lang w:val="en-GB"/>
          </w:rPr>
          <w:t>Proposal 2</w:t>
        </w:r>
        <w:r w:rsidR="001A7058">
          <w:rPr>
            <w:rFonts w:asciiTheme="minorHAnsi" w:eastAsiaTheme="minorEastAsia" w:hAnsiTheme="minorHAnsi"/>
            <w:b w:val="0"/>
            <w:noProof/>
            <w:sz w:val="22"/>
            <w:lang w:val="en-SE" w:eastAsia="en-SE"/>
          </w:rPr>
          <w:tab/>
        </w:r>
        <w:r w:rsidR="001A7058" w:rsidRPr="00A73533">
          <w:rPr>
            <w:rStyle w:val="Hyperlink"/>
            <w:noProof/>
            <w:lang w:val="en-GB"/>
          </w:rPr>
          <w:t>If the NCR supports simultaneous MT and FWD transmission, then the UL (i.e. BS side) TX emissions requirements should be defined on the total emissions from MT and FWD.</w:t>
        </w:r>
      </w:hyperlink>
    </w:p>
    <w:p w14:paraId="1532A46B" w14:textId="43E8335E" w:rsidR="001A7058" w:rsidRDefault="009B6905">
      <w:pPr>
        <w:pStyle w:val="TableofFigures"/>
        <w:tabs>
          <w:tab w:val="right" w:leader="dot" w:pos="9629"/>
        </w:tabs>
        <w:rPr>
          <w:rFonts w:asciiTheme="minorHAnsi" w:eastAsiaTheme="minorEastAsia" w:hAnsiTheme="minorHAnsi"/>
          <w:b w:val="0"/>
          <w:noProof/>
          <w:sz w:val="22"/>
          <w:lang w:val="en-SE" w:eastAsia="en-SE"/>
        </w:rPr>
      </w:pPr>
      <w:hyperlink w:anchor="_Toc135050298" w:history="1">
        <w:r w:rsidR="001A7058" w:rsidRPr="00A73533">
          <w:rPr>
            <w:rStyle w:val="Hyperlink"/>
            <w:noProof/>
            <w:lang w:val="en-GB"/>
          </w:rPr>
          <w:t>Proposal 3</w:t>
        </w:r>
        <w:r w:rsidR="001A7058">
          <w:rPr>
            <w:rFonts w:asciiTheme="minorHAnsi" w:eastAsiaTheme="minorEastAsia" w:hAnsiTheme="minorHAnsi"/>
            <w:b w:val="0"/>
            <w:noProof/>
            <w:sz w:val="22"/>
            <w:lang w:val="en-SE" w:eastAsia="en-SE"/>
          </w:rPr>
          <w:tab/>
        </w:r>
        <w:r w:rsidR="001A7058" w:rsidRPr="00A73533">
          <w:rPr>
            <w:rStyle w:val="Hyperlink"/>
            <w:noProof/>
            <w:lang w:val="en-GB"/>
          </w:rPr>
          <w:t>If the NCR does not support simultaneous MT and FWD transmission, then the UL (i.e. BS side) TX emissions requirements can be defined separately for the FWD and MT</w:t>
        </w:r>
      </w:hyperlink>
    </w:p>
    <w:p w14:paraId="52DA5345" w14:textId="3EE29FCA" w:rsidR="001A7058" w:rsidRDefault="009B6905">
      <w:pPr>
        <w:pStyle w:val="TableofFigures"/>
        <w:tabs>
          <w:tab w:val="right" w:leader="dot" w:pos="9629"/>
        </w:tabs>
        <w:rPr>
          <w:rFonts w:asciiTheme="minorHAnsi" w:eastAsiaTheme="minorEastAsia" w:hAnsiTheme="minorHAnsi"/>
          <w:b w:val="0"/>
          <w:noProof/>
          <w:sz w:val="22"/>
          <w:lang w:val="en-SE" w:eastAsia="en-SE"/>
        </w:rPr>
      </w:pPr>
      <w:hyperlink w:anchor="_Toc135050299" w:history="1">
        <w:r w:rsidR="001A7058" w:rsidRPr="00A73533">
          <w:rPr>
            <w:rStyle w:val="Hyperlink"/>
            <w:noProof/>
            <w:lang w:val="en-GB"/>
          </w:rPr>
          <w:t>Proposal 4</w:t>
        </w:r>
        <w:r w:rsidR="001A7058">
          <w:rPr>
            <w:rFonts w:asciiTheme="minorHAnsi" w:eastAsiaTheme="minorEastAsia" w:hAnsiTheme="minorHAnsi"/>
            <w:b w:val="0"/>
            <w:noProof/>
            <w:sz w:val="22"/>
            <w:lang w:val="en-SE" w:eastAsia="en-SE"/>
          </w:rPr>
          <w:tab/>
        </w:r>
        <w:r w:rsidR="001A7058" w:rsidRPr="00A73533">
          <w:rPr>
            <w:rStyle w:val="Hyperlink"/>
            <w:noProof/>
            <w:lang w:val="en-GB"/>
          </w:rPr>
          <w:t>If the TX emissions for the BS side are defined on the sum of MT and FWD, the RF bandwidth should be the total bandwidth of passband and the MT carrier.</w:t>
        </w:r>
      </w:hyperlink>
    </w:p>
    <w:p w14:paraId="1CB952F6" w14:textId="31802CCF" w:rsidR="001A7058" w:rsidRDefault="009B6905">
      <w:pPr>
        <w:pStyle w:val="TableofFigures"/>
        <w:tabs>
          <w:tab w:val="right" w:leader="dot" w:pos="9629"/>
        </w:tabs>
        <w:rPr>
          <w:rFonts w:asciiTheme="minorHAnsi" w:eastAsiaTheme="minorEastAsia" w:hAnsiTheme="minorHAnsi"/>
          <w:b w:val="0"/>
          <w:noProof/>
          <w:sz w:val="22"/>
          <w:lang w:val="en-SE" w:eastAsia="en-SE"/>
        </w:rPr>
      </w:pPr>
      <w:hyperlink w:anchor="_Toc135050300" w:history="1">
        <w:r w:rsidR="001A7058" w:rsidRPr="00A73533">
          <w:rPr>
            <w:rStyle w:val="Hyperlink"/>
            <w:noProof/>
            <w:lang w:val="en-GB" w:eastAsia="ja-JP"/>
          </w:rPr>
          <w:t>Proposal 5</w:t>
        </w:r>
        <w:r w:rsidR="001A7058">
          <w:rPr>
            <w:rFonts w:asciiTheme="minorHAnsi" w:eastAsiaTheme="minorEastAsia" w:hAnsiTheme="minorHAnsi"/>
            <w:b w:val="0"/>
            <w:noProof/>
            <w:sz w:val="22"/>
            <w:lang w:val="en-SE" w:eastAsia="en-SE"/>
          </w:rPr>
          <w:tab/>
        </w:r>
        <w:r w:rsidR="001A7058" w:rsidRPr="00A73533">
          <w:rPr>
            <w:rStyle w:val="Hyperlink"/>
            <w:noProof/>
            <w:lang w:val="en-GB"/>
          </w:rPr>
          <w:t>If the TX emissions for the BS side are defined on the sum of MT and FWD, the bandwidth for the ACLR requirement shall be the MT channel bandwidth.</w:t>
        </w:r>
      </w:hyperlink>
    </w:p>
    <w:p w14:paraId="0CB0797E" w14:textId="4F705DB8" w:rsidR="001A7058" w:rsidRDefault="009B6905">
      <w:pPr>
        <w:pStyle w:val="TableofFigures"/>
        <w:tabs>
          <w:tab w:val="right" w:leader="dot" w:pos="9629"/>
        </w:tabs>
        <w:rPr>
          <w:rFonts w:asciiTheme="minorHAnsi" w:eastAsiaTheme="minorEastAsia" w:hAnsiTheme="minorHAnsi"/>
          <w:b w:val="0"/>
          <w:noProof/>
          <w:sz w:val="22"/>
          <w:lang w:val="en-SE" w:eastAsia="en-SE"/>
        </w:rPr>
      </w:pPr>
      <w:hyperlink w:anchor="_Toc135050301" w:history="1">
        <w:r w:rsidR="001A7058" w:rsidRPr="00A73533">
          <w:rPr>
            <w:rStyle w:val="Hyperlink"/>
            <w:noProof/>
            <w:lang w:val="en-GB"/>
          </w:rPr>
          <w:t>Proposal 6</w:t>
        </w:r>
        <w:r w:rsidR="001A7058">
          <w:rPr>
            <w:rFonts w:asciiTheme="minorHAnsi" w:eastAsiaTheme="minorEastAsia" w:hAnsiTheme="minorHAnsi"/>
            <w:b w:val="0"/>
            <w:noProof/>
            <w:sz w:val="22"/>
            <w:lang w:val="en-SE" w:eastAsia="en-SE"/>
          </w:rPr>
          <w:tab/>
        </w:r>
        <w:r w:rsidR="001A7058" w:rsidRPr="00A73533">
          <w:rPr>
            <w:rStyle w:val="Hyperlink"/>
            <w:noProof/>
            <w:lang w:val="en-GB"/>
          </w:rPr>
          <w:t>Emissions scaling shall not be defined where it is not allowed by regulations.</w:t>
        </w:r>
      </w:hyperlink>
    </w:p>
    <w:p w14:paraId="69318D3E" w14:textId="2ED496DA" w:rsidR="001A7058" w:rsidRDefault="009B6905">
      <w:pPr>
        <w:pStyle w:val="TableofFigures"/>
        <w:tabs>
          <w:tab w:val="right" w:leader="dot" w:pos="9629"/>
        </w:tabs>
        <w:rPr>
          <w:rFonts w:asciiTheme="minorHAnsi" w:eastAsiaTheme="minorEastAsia" w:hAnsiTheme="minorHAnsi"/>
          <w:b w:val="0"/>
          <w:noProof/>
          <w:sz w:val="22"/>
          <w:lang w:val="en-SE" w:eastAsia="en-SE"/>
        </w:rPr>
      </w:pPr>
      <w:hyperlink w:anchor="_Toc135050302" w:history="1">
        <w:r w:rsidR="001A7058" w:rsidRPr="00A73533">
          <w:rPr>
            <w:rStyle w:val="Hyperlink"/>
            <w:noProof/>
            <w:lang w:val="en-GB"/>
          </w:rPr>
          <w:t>Proposal 7</w:t>
        </w:r>
        <w:r w:rsidR="001A7058">
          <w:rPr>
            <w:rFonts w:asciiTheme="minorHAnsi" w:eastAsiaTheme="minorEastAsia" w:hAnsiTheme="minorHAnsi"/>
            <w:b w:val="0"/>
            <w:noProof/>
            <w:sz w:val="22"/>
            <w:lang w:val="en-SE" w:eastAsia="en-SE"/>
          </w:rPr>
          <w:tab/>
        </w:r>
        <w:r w:rsidR="001A7058" w:rsidRPr="00A73533">
          <w:rPr>
            <w:rStyle w:val="Hyperlink"/>
            <w:noProof/>
            <w:lang w:val="en-GB"/>
          </w:rPr>
          <w:t>It is OK to allow the ACLR and emissions requirements for the LA IAB-MT class to be the same as for the UE. However, then the same class should be applied to both NCR-FWD and NCR-MT in uplink.</w:t>
        </w:r>
      </w:hyperlink>
    </w:p>
    <w:p w14:paraId="2D0485C0" w14:textId="5CD24F64" w:rsidR="001A7058" w:rsidRDefault="009B6905">
      <w:pPr>
        <w:pStyle w:val="TableofFigures"/>
        <w:tabs>
          <w:tab w:val="right" w:leader="dot" w:pos="9629"/>
        </w:tabs>
        <w:rPr>
          <w:rFonts w:asciiTheme="minorHAnsi" w:eastAsiaTheme="minorEastAsia" w:hAnsiTheme="minorHAnsi"/>
          <w:b w:val="0"/>
          <w:noProof/>
          <w:sz w:val="22"/>
          <w:lang w:val="en-SE" w:eastAsia="en-SE"/>
        </w:rPr>
      </w:pPr>
      <w:hyperlink w:anchor="_Toc135050303" w:history="1">
        <w:r w:rsidR="001A7058" w:rsidRPr="00A73533">
          <w:rPr>
            <w:rStyle w:val="Hyperlink"/>
            <w:noProof/>
            <w:lang w:val="en-GB"/>
          </w:rPr>
          <w:t>Proposal 8</w:t>
        </w:r>
        <w:r w:rsidR="001A7058">
          <w:rPr>
            <w:rFonts w:asciiTheme="minorHAnsi" w:eastAsiaTheme="minorEastAsia" w:hAnsiTheme="minorHAnsi"/>
            <w:b w:val="0"/>
            <w:noProof/>
            <w:sz w:val="22"/>
            <w:lang w:val="en-SE" w:eastAsia="en-SE"/>
          </w:rPr>
          <w:tab/>
        </w:r>
        <w:r w:rsidR="001A7058" w:rsidRPr="00A73533">
          <w:rPr>
            <w:rStyle w:val="Hyperlink"/>
            <w:noProof/>
            <w:lang w:val="en-GB"/>
          </w:rPr>
          <w:t>It is OK to use UE ACS for the LA NCR-MT</w:t>
        </w:r>
      </w:hyperlink>
    </w:p>
    <w:p w14:paraId="218BE4C1" w14:textId="2D52BDB1" w:rsidR="001A7058" w:rsidRDefault="009B6905">
      <w:pPr>
        <w:pStyle w:val="TableofFigures"/>
        <w:tabs>
          <w:tab w:val="right" w:leader="dot" w:pos="9629"/>
        </w:tabs>
        <w:rPr>
          <w:rFonts w:asciiTheme="minorHAnsi" w:eastAsiaTheme="minorEastAsia" w:hAnsiTheme="minorHAnsi"/>
          <w:b w:val="0"/>
          <w:noProof/>
          <w:sz w:val="22"/>
          <w:lang w:val="en-SE" w:eastAsia="en-SE"/>
        </w:rPr>
      </w:pPr>
      <w:hyperlink w:anchor="_Toc135050304" w:history="1">
        <w:r w:rsidR="001A7058" w:rsidRPr="00A73533">
          <w:rPr>
            <w:rStyle w:val="Hyperlink"/>
            <w:noProof/>
            <w:lang w:val="en-GB"/>
          </w:rPr>
          <w:t>Proposal 9</w:t>
        </w:r>
        <w:r w:rsidR="001A7058">
          <w:rPr>
            <w:rFonts w:asciiTheme="minorHAnsi" w:eastAsiaTheme="minorEastAsia" w:hAnsiTheme="minorHAnsi"/>
            <w:b w:val="0"/>
            <w:noProof/>
            <w:sz w:val="22"/>
            <w:lang w:val="en-SE" w:eastAsia="en-SE"/>
          </w:rPr>
          <w:tab/>
        </w:r>
        <w:r w:rsidR="001A7058" w:rsidRPr="00A73533">
          <w:rPr>
            <w:rStyle w:val="Hyperlink"/>
            <w:noProof/>
            <w:lang w:val="en-GB"/>
          </w:rPr>
          <w:t>The transient time can be defined for FWD and MT separately</w:t>
        </w:r>
      </w:hyperlink>
    </w:p>
    <w:p w14:paraId="0ED376F7" w14:textId="7A683210" w:rsidR="001A7058" w:rsidRDefault="009B6905">
      <w:pPr>
        <w:pStyle w:val="TableofFigures"/>
        <w:tabs>
          <w:tab w:val="right" w:leader="dot" w:pos="9629"/>
        </w:tabs>
        <w:rPr>
          <w:rFonts w:asciiTheme="minorHAnsi" w:eastAsiaTheme="minorEastAsia" w:hAnsiTheme="minorHAnsi"/>
          <w:b w:val="0"/>
          <w:noProof/>
          <w:sz w:val="22"/>
          <w:lang w:val="en-SE" w:eastAsia="en-SE"/>
        </w:rPr>
      </w:pPr>
      <w:hyperlink w:anchor="_Toc135050305" w:history="1">
        <w:r w:rsidR="001A7058" w:rsidRPr="00A73533">
          <w:rPr>
            <w:rStyle w:val="Hyperlink"/>
            <w:noProof/>
            <w:lang w:val="en-GB"/>
          </w:rPr>
          <w:t>Proposal 10</w:t>
        </w:r>
        <w:r w:rsidR="001A7058">
          <w:rPr>
            <w:rFonts w:asciiTheme="minorHAnsi" w:eastAsiaTheme="minorEastAsia" w:hAnsiTheme="minorHAnsi"/>
            <w:b w:val="0"/>
            <w:noProof/>
            <w:sz w:val="22"/>
            <w:lang w:val="en-SE" w:eastAsia="en-SE"/>
          </w:rPr>
          <w:tab/>
        </w:r>
        <w:r w:rsidR="001A7058" w:rsidRPr="00A73533">
          <w:rPr>
            <w:rStyle w:val="Hyperlink"/>
            <w:noProof/>
            <w:lang w:val="en-GB"/>
          </w:rPr>
          <w:t>The OFF power should be defined as the total OFF power from the MT and FWD</w:t>
        </w:r>
      </w:hyperlink>
    </w:p>
    <w:p w14:paraId="74A77E7E" w14:textId="618793B5" w:rsidR="00311702" w:rsidRPr="00CE0424" w:rsidRDefault="006E1C82" w:rsidP="00C63958">
      <w:pPr>
        <w:pStyle w:val="BodyText"/>
      </w:pPr>
      <w:r>
        <w:rPr>
          <w:b/>
          <w:bCs/>
        </w:rPr>
        <w:fldChar w:fldCharType="end"/>
      </w: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F9A6C" w14:textId="77777777" w:rsidR="00C63D0C" w:rsidRDefault="00C63D0C">
      <w:r>
        <w:separator/>
      </w:r>
    </w:p>
  </w:endnote>
  <w:endnote w:type="continuationSeparator" w:id="0">
    <w:p w14:paraId="56F1D15A" w14:textId="77777777" w:rsidR="00C63D0C" w:rsidRDefault="00C63D0C">
      <w:r>
        <w:continuationSeparator/>
      </w:r>
    </w:p>
  </w:endnote>
  <w:endnote w:type="continuationNotice" w:id="1">
    <w:p w14:paraId="19F66A09" w14:textId="77777777" w:rsidR="00C63D0C" w:rsidRDefault="00C63D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5E8E5" w14:textId="77777777" w:rsidR="00C63D0C" w:rsidRDefault="00C63D0C">
      <w:r>
        <w:separator/>
      </w:r>
    </w:p>
  </w:footnote>
  <w:footnote w:type="continuationSeparator" w:id="0">
    <w:p w14:paraId="76DB4D21" w14:textId="77777777" w:rsidR="00C63D0C" w:rsidRDefault="00C63D0C">
      <w:r>
        <w:continuationSeparator/>
      </w:r>
    </w:p>
  </w:footnote>
  <w:footnote w:type="continuationNotice" w:id="1">
    <w:p w14:paraId="4365F866" w14:textId="77777777" w:rsidR="00C63D0C" w:rsidRDefault="00C63D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56DE0"/>
    <w:multiLevelType w:val="hybridMultilevel"/>
    <w:tmpl w:val="D176492A"/>
    <w:lvl w:ilvl="0" w:tplc="7968F0D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8"/>
  </w:num>
  <w:num w:numId="6" w16cid:durableId="1130905483">
    <w:abstractNumId w:val="15"/>
  </w:num>
  <w:num w:numId="7" w16cid:durableId="1818380057">
    <w:abstractNumId w:val="19"/>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0"/>
  </w:num>
  <w:num w:numId="17" w16cid:durableId="183830960">
    <w:abstractNumId w:val="5"/>
  </w:num>
  <w:num w:numId="18" w16cid:durableId="1606114056">
    <w:abstractNumId w:val="6"/>
  </w:num>
  <w:num w:numId="19" w16cid:durableId="2129543684">
    <w:abstractNumId w:val="4"/>
  </w:num>
  <w:num w:numId="20" w16cid:durableId="1458717335">
    <w:abstractNumId w:val="22"/>
  </w:num>
  <w:num w:numId="21" w16cid:durableId="1670518138">
    <w:abstractNumId w:val="11"/>
  </w:num>
  <w:num w:numId="22" w16cid:durableId="350379046">
    <w:abstractNumId w:val="21"/>
  </w:num>
  <w:num w:numId="23" w16cid:durableId="161332108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601B"/>
    <w:rsid w:val="000254B5"/>
    <w:rsid w:val="0002564D"/>
    <w:rsid w:val="00025ECA"/>
    <w:rsid w:val="000325B8"/>
    <w:rsid w:val="00034C15"/>
    <w:rsid w:val="00036BA1"/>
    <w:rsid w:val="000422E2"/>
    <w:rsid w:val="00042F22"/>
    <w:rsid w:val="000432CB"/>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762"/>
    <w:rsid w:val="000A1B7B"/>
    <w:rsid w:val="000A56F2"/>
    <w:rsid w:val="000B2719"/>
    <w:rsid w:val="000B3A8F"/>
    <w:rsid w:val="000B4AB9"/>
    <w:rsid w:val="000B58C3"/>
    <w:rsid w:val="000B61E9"/>
    <w:rsid w:val="000C165A"/>
    <w:rsid w:val="000C2E19"/>
    <w:rsid w:val="000D0D07"/>
    <w:rsid w:val="000D39F1"/>
    <w:rsid w:val="000D4797"/>
    <w:rsid w:val="000E0527"/>
    <w:rsid w:val="000E1E92"/>
    <w:rsid w:val="000F06D6"/>
    <w:rsid w:val="000F0EB1"/>
    <w:rsid w:val="000F1106"/>
    <w:rsid w:val="000F3BE9"/>
    <w:rsid w:val="000F3F6C"/>
    <w:rsid w:val="000F6DF3"/>
    <w:rsid w:val="001005FF"/>
    <w:rsid w:val="001062FB"/>
    <w:rsid w:val="001063E6"/>
    <w:rsid w:val="00110EFE"/>
    <w:rsid w:val="00113CF4"/>
    <w:rsid w:val="001153EA"/>
    <w:rsid w:val="00115643"/>
    <w:rsid w:val="00116765"/>
    <w:rsid w:val="001209D3"/>
    <w:rsid w:val="001219F5"/>
    <w:rsid w:val="00121A20"/>
    <w:rsid w:val="0012306C"/>
    <w:rsid w:val="0012377F"/>
    <w:rsid w:val="00124314"/>
    <w:rsid w:val="00126B4A"/>
    <w:rsid w:val="00131D96"/>
    <w:rsid w:val="00132FD0"/>
    <w:rsid w:val="001344C0"/>
    <w:rsid w:val="001346FA"/>
    <w:rsid w:val="00135252"/>
    <w:rsid w:val="00137AB5"/>
    <w:rsid w:val="00137F0B"/>
    <w:rsid w:val="001463BA"/>
    <w:rsid w:val="00151E23"/>
    <w:rsid w:val="001526E0"/>
    <w:rsid w:val="001551B5"/>
    <w:rsid w:val="001659C1"/>
    <w:rsid w:val="00173A8E"/>
    <w:rsid w:val="0017502C"/>
    <w:rsid w:val="00176F20"/>
    <w:rsid w:val="0018143F"/>
    <w:rsid w:val="00181FF8"/>
    <w:rsid w:val="00190AC1"/>
    <w:rsid w:val="0019341A"/>
    <w:rsid w:val="00197DF9"/>
    <w:rsid w:val="001A1987"/>
    <w:rsid w:val="001A2564"/>
    <w:rsid w:val="001A6173"/>
    <w:rsid w:val="001A6CBA"/>
    <w:rsid w:val="001A7058"/>
    <w:rsid w:val="001B0D97"/>
    <w:rsid w:val="001B5A5D"/>
    <w:rsid w:val="001C1CE5"/>
    <w:rsid w:val="001C3D2A"/>
    <w:rsid w:val="001D3138"/>
    <w:rsid w:val="001D497C"/>
    <w:rsid w:val="001D51BA"/>
    <w:rsid w:val="001D53E7"/>
    <w:rsid w:val="001D5814"/>
    <w:rsid w:val="001D5B79"/>
    <w:rsid w:val="001D6342"/>
    <w:rsid w:val="001D6D53"/>
    <w:rsid w:val="001E31DF"/>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1DE"/>
    <w:rsid w:val="002252C3"/>
    <w:rsid w:val="00225C54"/>
    <w:rsid w:val="00230765"/>
    <w:rsid w:val="00230D18"/>
    <w:rsid w:val="002319E4"/>
    <w:rsid w:val="00235632"/>
    <w:rsid w:val="00235872"/>
    <w:rsid w:val="00241559"/>
    <w:rsid w:val="002420A4"/>
    <w:rsid w:val="002435B3"/>
    <w:rsid w:val="002458EB"/>
    <w:rsid w:val="002471FE"/>
    <w:rsid w:val="002478FC"/>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B2A4B"/>
    <w:rsid w:val="002C41E6"/>
    <w:rsid w:val="002D071A"/>
    <w:rsid w:val="002D26A6"/>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FC5"/>
    <w:rsid w:val="00335858"/>
    <w:rsid w:val="00336BDA"/>
    <w:rsid w:val="003414C6"/>
    <w:rsid w:val="00342BD7"/>
    <w:rsid w:val="00346DB5"/>
    <w:rsid w:val="003477B1"/>
    <w:rsid w:val="0035359B"/>
    <w:rsid w:val="003558B4"/>
    <w:rsid w:val="00357380"/>
    <w:rsid w:val="003602D9"/>
    <w:rsid w:val="003604CE"/>
    <w:rsid w:val="00362392"/>
    <w:rsid w:val="00370E47"/>
    <w:rsid w:val="003742AC"/>
    <w:rsid w:val="0037462B"/>
    <w:rsid w:val="00377CE1"/>
    <w:rsid w:val="00384B93"/>
    <w:rsid w:val="00385BF0"/>
    <w:rsid w:val="00390F69"/>
    <w:rsid w:val="003939FF"/>
    <w:rsid w:val="003A2223"/>
    <w:rsid w:val="003A2A0F"/>
    <w:rsid w:val="003A45A1"/>
    <w:rsid w:val="003A5B0A"/>
    <w:rsid w:val="003A6BAC"/>
    <w:rsid w:val="003A70A4"/>
    <w:rsid w:val="003A7EF3"/>
    <w:rsid w:val="003B159C"/>
    <w:rsid w:val="003B369F"/>
    <w:rsid w:val="003B36A3"/>
    <w:rsid w:val="003B64BB"/>
    <w:rsid w:val="003B65D7"/>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ED8"/>
    <w:rsid w:val="00427248"/>
    <w:rsid w:val="00437447"/>
    <w:rsid w:val="00441A92"/>
    <w:rsid w:val="004431DC"/>
    <w:rsid w:val="00444F56"/>
    <w:rsid w:val="00445C38"/>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244C"/>
    <w:rsid w:val="004D36B1"/>
    <w:rsid w:val="004D7EBD"/>
    <w:rsid w:val="004E2680"/>
    <w:rsid w:val="004E28F9"/>
    <w:rsid w:val="004E462E"/>
    <w:rsid w:val="004E56DC"/>
    <w:rsid w:val="004E76F4"/>
    <w:rsid w:val="004F0B4E"/>
    <w:rsid w:val="004F0B6C"/>
    <w:rsid w:val="004F2078"/>
    <w:rsid w:val="004F4DA3"/>
    <w:rsid w:val="00506557"/>
    <w:rsid w:val="0050677A"/>
    <w:rsid w:val="0051001E"/>
    <w:rsid w:val="005108D8"/>
    <w:rsid w:val="005116F9"/>
    <w:rsid w:val="005153A7"/>
    <w:rsid w:val="005219CF"/>
    <w:rsid w:val="00531FFE"/>
    <w:rsid w:val="00534B59"/>
    <w:rsid w:val="00536759"/>
    <w:rsid w:val="00537C62"/>
    <w:rsid w:val="00546970"/>
    <w:rsid w:val="00554E19"/>
    <w:rsid w:val="0056121F"/>
    <w:rsid w:val="00572505"/>
    <w:rsid w:val="00582809"/>
    <w:rsid w:val="005877A3"/>
    <w:rsid w:val="0058798C"/>
    <w:rsid w:val="005900FA"/>
    <w:rsid w:val="005935A4"/>
    <w:rsid w:val="005948C2"/>
    <w:rsid w:val="00595DCA"/>
    <w:rsid w:val="0059779B"/>
    <w:rsid w:val="005A209A"/>
    <w:rsid w:val="005A662D"/>
    <w:rsid w:val="005A6EF6"/>
    <w:rsid w:val="005B1409"/>
    <w:rsid w:val="005B2090"/>
    <w:rsid w:val="005B35D7"/>
    <w:rsid w:val="005B392A"/>
    <w:rsid w:val="005B3AA3"/>
    <w:rsid w:val="005B6F83"/>
    <w:rsid w:val="005C74FB"/>
    <w:rsid w:val="005D1602"/>
    <w:rsid w:val="005E385F"/>
    <w:rsid w:val="005E5B81"/>
    <w:rsid w:val="005E73C2"/>
    <w:rsid w:val="005F09B3"/>
    <w:rsid w:val="005F2CB1"/>
    <w:rsid w:val="005F3025"/>
    <w:rsid w:val="005F618C"/>
    <w:rsid w:val="005F70BD"/>
    <w:rsid w:val="0060283C"/>
    <w:rsid w:val="0060329F"/>
    <w:rsid w:val="00604F14"/>
    <w:rsid w:val="00611B83"/>
    <w:rsid w:val="00613257"/>
    <w:rsid w:val="00617EB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CF7"/>
    <w:rsid w:val="00695FC2"/>
    <w:rsid w:val="00696949"/>
    <w:rsid w:val="00697052"/>
    <w:rsid w:val="00697342"/>
    <w:rsid w:val="006A46FB"/>
    <w:rsid w:val="006A5E28"/>
    <w:rsid w:val="006A697B"/>
    <w:rsid w:val="006A7AFF"/>
    <w:rsid w:val="006B1816"/>
    <w:rsid w:val="006B2099"/>
    <w:rsid w:val="006B50CF"/>
    <w:rsid w:val="006B5AF3"/>
    <w:rsid w:val="006C03B8"/>
    <w:rsid w:val="006C0470"/>
    <w:rsid w:val="006C5EC9"/>
    <w:rsid w:val="006C6059"/>
    <w:rsid w:val="006C7522"/>
    <w:rsid w:val="006D6F08"/>
    <w:rsid w:val="006E062C"/>
    <w:rsid w:val="006E1C82"/>
    <w:rsid w:val="006E28B7"/>
    <w:rsid w:val="006E2A9B"/>
    <w:rsid w:val="006E3310"/>
    <w:rsid w:val="006E4E39"/>
    <w:rsid w:val="006E5521"/>
    <w:rsid w:val="006E565E"/>
    <w:rsid w:val="006E673D"/>
    <w:rsid w:val="006E7D3B"/>
    <w:rsid w:val="006F1B70"/>
    <w:rsid w:val="006F341D"/>
    <w:rsid w:val="006F3CDE"/>
    <w:rsid w:val="006F45A7"/>
    <w:rsid w:val="006F581A"/>
    <w:rsid w:val="006F58D4"/>
    <w:rsid w:val="006F6582"/>
    <w:rsid w:val="007018D3"/>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4198"/>
    <w:rsid w:val="007571E1"/>
    <w:rsid w:val="007604B2"/>
    <w:rsid w:val="00765281"/>
    <w:rsid w:val="00766BAD"/>
    <w:rsid w:val="0077222A"/>
    <w:rsid w:val="007729A2"/>
    <w:rsid w:val="007755F2"/>
    <w:rsid w:val="00776971"/>
    <w:rsid w:val="00780A80"/>
    <w:rsid w:val="0078177E"/>
    <w:rsid w:val="0078304C"/>
    <w:rsid w:val="00783673"/>
    <w:rsid w:val="00785490"/>
    <w:rsid w:val="0079149F"/>
    <w:rsid w:val="0079225B"/>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1AE"/>
    <w:rsid w:val="00803FAE"/>
    <w:rsid w:val="0080605F"/>
    <w:rsid w:val="00806D3D"/>
    <w:rsid w:val="00807786"/>
    <w:rsid w:val="00811FCB"/>
    <w:rsid w:val="008156A2"/>
    <w:rsid w:val="008158D6"/>
    <w:rsid w:val="00817196"/>
    <w:rsid w:val="008235DB"/>
    <w:rsid w:val="00824AB4"/>
    <w:rsid w:val="00825C42"/>
    <w:rsid w:val="00825D25"/>
    <w:rsid w:val="008261CE"/>
    <w:rsid w:val="00827D6F"/>
    <w:rsid w:val="0083488F"/>
    <w:rsid w:val="008376AC"/>
    <w:rsid w:val="008444E8"/>
    <w:rsid w:val="00844E80"/>
    <w:rsid w:val="00846FE7"/>
    <w:rsid w:val="00856911"/>
    <w:rsid w:val="00861E0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79"/>
    <w:rsid w:val="008B592A"/>
    <w:rsid w:val="008B7B5C"/>
    <w:rsid w:val="008C0C99"/>
    <w:rsid w:val="008C2017"/>
    <w:rsid w:val="008C4958"/>
    <w:rsid w:val="008C4BAA"/>
    <w:rsid w:val="008C6AE8"/>
    <w:rsid w:val="008C7573"/>
    <w:rsid w:val="008D00A5"/>
    <w:rsid w:val="008D34F1"/>
    <w:rsid w:val="008D39D8"/>
    <w:rsid w:val="008D586F"/>
    <w:rsid w:val="008D6D1A"/>
    <w:rsid w:val="008E065E"/>
    <w:rsid w:val="008E0927"/>
    <w:rsid w:val="008E1909"/>
    <w:rsid w:val="008E583F"/>
    <w:rsid w:val="008E62DA"/>
    <w:rsid w:val="008F1C4E"/>
    <w:rsid w:val="008F1EAB"/>
    <w:rsid w:val="008F33DC"/>
    <w:rsid w:val="008F477F"/>
    <w:rsid w:val="009019C3"/>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55F9"/>
    <w:rsid w:val="00935634"/>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43D"/>
    <w:rsid w:val="00971F08"/>
    <w:rsid w:val="0097603D"/>
    <w:rsid w:val="00976949"/>
    <w:rsid w:val="00980477"/>
    <w:rsid w:val="00985253"/>
    <w:rsid w:val="009853B3"/>
    <w:rsid w:val="00990630"/>
    <w:rsid w:val="00991761"/>
    <w:rsid w:val="00994DCA"/>
    <w:rsid w:val="009960EC"/>
    <w:rsid w:val="009970DD"/>
    <w:rsid w:val="009A0FBA"/>
    <w:rsid w:val="009A1601"/>
    <w:rsid w:val="009A2DBD"/>
    <w:rsid w:val="009A3BB6"/>
    <w:rsid w:val="009A462D"/>
    <w:rsid w:val="009A5CBA"/>
    <w:rsid w:val="009B1F30"/>
    <w:rsid w:val="009B3AC2"/>
    <w:rsid w:val="009B4DF4"/>
    <w:rsid w:val="009B564E"/>
    <w:rsid w:val="009B6905"/>
    <w:rsid w:val="009B72A7"/>
    <w:rsid w:val="009B7E87"/>
    <w:rsid w:val="009C0169"/>
    <w:rsid w:val="009C403E"/>
    <w:rsid w:val="009D4FF0"/>
    <w:rsid w:val="009D54EA"/>
    <w:rsid w:val="009D703C"/>
    <w:rsid w:val="009D718F"/>
    <w:rsid w:val="009E068F"/>
    <w:rsid w:val="009E14E0"/>
    <w:rsid w:val="009E35DB"/>
    <w:rsid w:val="009E47A3"/>
    <w:rsid w:val="009F08F3"/>
    <w:rsid w:val="009F344F"/>
    <w:rsid w:val="009F4057"/>
    <w:rsid w:val="00A031D8"/>
    <w:rsid w:val="00A048A8"/>
    <w:rsid w:val="00A04F49"/>
    <w:rsid w:val="00A13E54"/>
    <w:rsid w:val="00A17F63"/>
    <w:rsid w:val="00A2193B"/>
    <w:rsid w:val="00A2351A"/>
    <w:rsid w:val="00A25466"/>
    <w:rsid w:val="00A264A9"/>
    <w:rsid w:val="00A26DCF"/>
    <w:rsid w:val="00A27785"/>
    <w:rsid w:val="00A30187"/>
    <w:rsid w:val="00A34367"/>
    <w:rsid w:val="00A3448A"/>
    <w:rsid w:val="00A36297"/>
    <w:rsid w:val="00A41E2B"/>
    <w:rsid w:val="00A45B74"/>
    <w:rsid w:val="00A5287B"/>
    <w:rsid w:val="00A52E1D"/>
    <w:rsid w:val="00A60D7A"/>
    <w:rsid w:val="00A61499"/>
    <w:rsid w:val="00A62A77"/>
    <w:rsid w:val="00A63483"/>
    <w:rsid w:val="00A657D7"/>
    <w:rsid w:val="00A660AC"/>
    <w:rsid w:val="00A67E6C"/>
    <w:rsid w:val="00A71B99"/>
    <w:rsid w:val="00A739D0"/>
    <w:rsid w:val="00A761D4"/>
    <w:rsid w:val="00A77EC4"/>
    <w:rsid w:val="00A92879"/>
    <w:rsid w:val="00A9442A"/>
    <w:rsid w:val="00AA016F"/>
    <w:rsid w:val="00AA076A"/>
    <w:rsid w:val="00AA1ED6"/>
    <w:rsid w:val="00AA51D6"/>
    <w:rsid w:val="00AB0BC8"/>
    <w:rsid w:val="00AB11CA"/>
    <w:rsid w:val="00AB14D9"/>
    <w:rsid w:val="00AB4AB8"/>
    <w:rsid w:val="00AB5B87"/>
    <w:rsid w:val="00AB655E"/>
    <w:rsid w:val="00AC007F"/>
    <w:rsid w:val="00AC2CC9"/>
    <w:rsid w:val="00AC2ECD"/>
    <w:rsid w:val="00AC3119"/>
    <w:rsid w:val="00AC49FB"/>
    <w:rsid w:val="00AC5A10"/>
    <w:rsid w:val="00AD0AA3"/>
    <w:rsid w:val="00AD2ED0"/>
    <w:rsid w:val="00AD3F94"/>
    <w:rsid w:val="00AD4A5A"/>
    <w:rsid w:val="00AE27AC"/>
    <w:rsid w:val="00AE40E0"/>
    <w:rsid w:val="00AE4DBA"/>
    <w:rsid w:val="00AE4F07"/>
    <w:rsid w:val="00AF111A"/>
    <w:rsid w:val="00AF1C5D"/>
    <w:rsid w:val="00AF21D6"/>
    <w:rsid w:val="00AF42D7"/>
    <w:rsid w:val="00AF4C7C"/>
    <w:rsid w:val="00AF4D40"/>
    <w:rsid w:val="00B006FE"/>
    <w:rsid w:val="00B007CB"/>
    <w:rsid w:val="00B02AA9"/>
    <w:rsid w:val="00B02FA3"/>
    <w:rsid w:val="00B05084"/>
    <w:rsid w:val="00B077D6"/>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4131"/>
    <w:rsid w:val="00B664C7"/>
    <w:rsid w:val="00B713D8"/>
    <w:rsid w:val="00B739F6"/>
    <w:rsid w:val="00B75AF4"/>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2F9D"/>
    <w:rsid w:val="00C63958"/>
    <w:rsid w:val="00C63D0C"/>
    <w:rsid w:val="00C64672"/>
    <w:rsid w:val="00C70697"/>
    <w:rsid w:val="00C72093"/>
    <w:rsid w:val="00C72EF4"/>
    <w:rsid w:val="00C744FE"/>
    <w:rsid w:val="00C75D2F"/>
    <w:rsid w:val="00C767BE"/>
    <w:rsid w:val="00C76E3C"/>
    <w:rsid w:val="00C80BB6"/>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121"/>
    <w:rsid w:val="00CE7561"/>
    <w:rsid w:val="00CF1354"/>
    <w:rsid w:val="00CF2767"/>
    <w:rsid w:val="00CF3B1F"/>
    <w:rsid w:val="00CF3BF6"/>
    <w:rsid w:val="00CF625B"/>
    <w:rsid w:val="00CF687E"/>
    <w:rsid w:val="00D0349B"/>
    <w:rsid w:val="00D10249"/>
    <w:rsid w:val="00D115C3"/>
    <w:rsid w:val="00D11897"/>
    <w:rsid w:val="00D13135"/>
    <w:rsid w:val="00D13E4E"/>
    <w:rsid w:val="00D239A7"/>
    <w:rsid w:val="00D23F47"/>
    <w:rsid w:val="00D274DD"/>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323"/>
    <w:rsid w:val="00D86CA3"/>
    <w:rsid w:val="00D871CE"/>
    <w:rsid w:val="00D9196D"/>
    <w:rsid w:val="00D92982"/>
    <w:rsid w:val="00DA305E"/>
    <w:rsid w:val="00DA5417"/>
    <w:rsid w:val="00DA56E8"/>
    <w:rsid w:val="00DB0A9F"/>
    <w:rsid w:val="00DB377D"/>
    <w:rsid w:val="00DC2561"/>
    <w:rsid w:val="00DC2D36"/>
    <w:rsid w:val="00DC53EF"/>
    <w:rsid w:val="00DE5608"/>
    <w:rsid w:val="00DE58D0"/>
    <w:rsid w:val="00DE654F"/>
    <w:rsid w:val="00DF0B6E"/>
    <w:rsid w:val="00DF15E0"/>
    <w:rsid w:val="00DF37A0"/>
    <w:rsid w:val="00E110E7"/>
    <w:rsid w:val="00E11B20"/>
    <w:rsid w:val="00E17FA2"/>
    <w:rsid w:val="00E20CB1"/>
    <w:rsid w:val="00E22330"/>
    <w:rsid w:val="00E30B5A"/>
    <w:rsid w:val="00E3123D"/>
    <w:rsid w:val="00E31461"/>
    <w:rsid w:val="00E31D43"/>
    <w:rsid w:val="00E32608"/>
    <w:rsid w:val="00E34188"/>
    <w:rsid w:val="00E34B6E"/>
    <w:rsid w:val="00E35559"/>
    <w:rsid w:val="00E3723A"/>
    <w:rsid w:val="00E37272"/>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910"/>
    <w:rsid w:val="00EA7A41"/>
    <w:rsid w:val="00EB077B"/>
    <w:rsid w:val="00EB4EA2"/>
    <w:rsid w:val="00EC24D5"/>
    <w:rsid w:val="00EC27C6"/>
    <w:rsid w:val="00EC4207"/>
    <w:rsid w:val="00EC5653"/>
    <w:rsid w:val="00EC71CE"/>
    <w:rsid w:val="00EC7994"/>
    <w:rsid w:val="00ED1006"/>
    <w:rsid w:val="00EF18FE"/>
    <w:rsid w:val="00EF5787"/>
    <w:rsid w:val="00EF60D0"/>
    <w:rsid w:val="00F0528D"/>
    <w:rsid w:val="00F06C67"/>
    <w:rsid w:val="00F06DFD"/>
    <w:rsid w:val="00F071D1"/>
    <w:rsid w:val="00F07533"/>
    <w:rsid w:val="00F10629"/>
    <w:rsid w:val="00F15FA5"/>
    <w:rsid w:val="00F209B7"/>
    <w:rsid w:val="00F2376F"/>
    <w:rsid w:val="00F24166"/>
    <w:rsid w:val="00F243D8"/>
    <w:rsid w:val="00F30828"/>
    <w:rsid w:val="00F313D6"/>
    <w:rsid w:val="00F3148B"/>
    <w:rsid w:val="00F40F0C"/>
    <w:rsid w:val="00F4766C"/>
    <w:rsid w:val="00F5060E"/>
    <w:rsid w:val="00F507D1"/>
    <w:rsid w:val="00F519CE"/>
    <w:rsid w:val="00F51ADA"/>
    <w:rsid w:val="00F57056"/>
    <w:rsid w:val="00F60203"/>
    <w:rsid w:val="00F607C5"/>
    <w:rsid w:val="00F60DEA"/>
    <w:rsid w:val="00F6302A"/>
    <w:rsid w:val="00F63950"/>
    <w:rsid w:val="00F64C2B"/>
    <w:rsid w:val="00F651BE"/>
    <w:rsid w:val="00F67F53"/>
    <w:rsid w:val="00F703BE"/>
    <w:rsid w:val="00F71DA0"/>
    <w:rsid w:val="00F71F69"/>
    <w:rsid w:val="00F72B72"/>
    <w:rsid w:val="00F74BB9"/>
    <w:rsid w:val="00F74DC5"/>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0D84"/>
    <w:rsid w:val="00FD1EC8"/>
    <w:rsid w:val="00FD47ED"/>
    <w:rsid w:val="00FD74DB"/>
    <w:rsid w:val="00FD7660"/>
    <w:rsid w:val="00FD7B23"/>
    <w:rsid w:val="00FD7F12"/>
    <w:rsid w:val="00FE0655"/>
    <w:rsid w:val="00FE2365"/>
    <w:rsid w:val="00FE37D7"/>
    <w:rsid w:val="00FE4C7B"/>
    <w:rsid w:val="00FE7336"/>
    <w:rsid w:val="00FE787C"/>
    <w:rsid w:val="00FF14C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4</Pages>
  <Words>1242</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114</cp:revision>
  <cp:lastPrinted>2008-01-31T16:09:00Z</cp:lastPrinted>
  <dcterms:created xsi:type="dcterms:W3CDTF">2020-08-14T06:21:00Z</dcterms:created>
  <dcterms:modified xsi:type="dcterms:W3CDTF">2023-05-15T12:13:00Z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